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(in applicazione del codice degli appalti D.Lgs. 50/2016)</w:t>
      </w: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>Il/la sottoscritto/a [________] nato/a a [_________] il [__________] codice fiscale [__________] in qualità di Soggetto beneficiario titolare dell’operazione [__________];</w:t>
      </w:r>
    </w:p>
    <w:p w:rsidR="00B958DE" w:rsidRDefault="00B958DE" w:rsidP="00B958DE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47 , 48 e 76 del D.P.R n. 445 del 28 dicembre 2000</w:t>
      </w: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:rsidR="00B958DE" w:rsidRDefault="00B958DE" w:rsidP="00B958DE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>DICHIARA QUANTO SEGUE</w:t>
      </w:r>
    </w:p>
    <w:p w:rsidR="00B958DE" w:rsidRDefault="00B958DE"/>
    <w:p w:rsidR="00B958DE" w:rsidRDefault="00B958DE">
      <w:bookmarkStart w:id="0" w:name="_GoBack"/>
      <w:bookmarkEnd w:id="0"/>
    </w:p>
    <w:tbl>
      <w:tblPr>
        <w:tblStyle w:val="TableGrid"/>
        <w:tblpPr w:leftFromText="141" w:rightFromText="141" w:vertAnchor="text" w:horzAnchor="margin" w:tblpY="288"/>
        <w:tblW w:w="4998" w:type="pct"/>
        <w:tblLook w:val="04A0" w:firstRow="1" w:lastRow="0" w:firstColumn="1" w:lastColumn="0" w:noHBand="0" w:noVBand="1"/>
      </w:tblPr>
      <w:tblGrid>
        <w:gridCol w:w="14496"/>
      </w:tblGrid>
      <w:tr w:rsidR="00B958DE" w:rsidTr="00B958DE">
        <w:tc>
          <w:tcPr>
            <w:tcW w:w="5000" w:type="pct"/>
            <w:shd w:val="clear" w:color="auto" w:fill="B6DDE8" w:themeFill="accent5" w:themeFillTint="66"/>
          </w:tcPr>
          <w:p w:rsidR="00B958DE" w:rsidRDefault="00B958DE" w:rsidP="00B958DE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con rilevanza comunitaria </w:t>
            </w:r>
          </w:p>
          <w:p w:rsidR="00B958DE" w:rsidRDefault="00B958DE" w:rsidP="00B958DE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mediante procedura negoziata senza previa pubblicazione di un </w:t>
            </w:r>
            <w:r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:rsidR="00B958DE" w:rsidRDefault="00B958DE" w:rsidP="00B958DE">
            <w:pPr>
              <w:pStyle w:val="Heading3"/>
              <w:jc w:val="center"/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63 del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>Decreto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Legislativo 1</w:t>
            </w:r>
            <w:r>
              <w:rPr>
                <w:b/>
                <w:bCs/>
                <w:sz w:val="20"/>
                <w:szCs w:val="20"/>
                <w:u w:val="none"/>
              </w:rPr>
              <w:t>8 aprile 201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:rsidR="00B958DE" w:rsidRDefault="00B958DE"/>
    <w:p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>I presenti adempimenti trovano adozione nell’ambito dei lavori di importo pari o superiore alla soglia comunitaria di cui all’art. 35 del D.lgs. 50/2016.</w:t>
      </w:r>
    </w:p>
    <w:p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 xml:space="preserve">Gli adempimenti previsti sono coerenti con la </w:t>
      </w:r>
      <w:r w:rsidR="005C150B" w:rsidRPr="00230AAD">
        <w:rPr>
          <w:rFonts w:cs="Tahoma"/>
          <w:sz w:val="18"/>
          <w:szCs w:val="18"/>
        </w:rPr>
        <w:t>Delibera ANAC 1005 del 21/09/2016, Linee guida N.2:</w:t>
      </w:r>
      <w:r w:rsidRPr="00230AAD">
        <w:rPr>
          <w:rFonts w:cs="Tahoma"/>
          <w:sz w:val="18"/>
          <w:szCs w:val="18"/>
        </w:rPr>
        <w:t xml:space="preserve"> Offerta Economicamente Più Vantaggiosa</w:t>
      </w:r>
      <w:r w:rsidR="0014543D" w:rsidRPr="00230AAD">
        <w:rPr>
          <w:rFonts w:cs="Tahoma"/>
          <w:sz w:val="18"/>
          <w:szCs w:val="18"/>
        </w:rPr>
        <w:t xml:space="preserve"> e con la </w:t>
      </w:r>
      <w:r w:rsidR="005C150B" w:rsidRPr="00230AAD">
        <w:rPr>
          <w:rFonts w:cs="Tahoma"/>
          <w:sz w:val="18"/>
          <w:szCs w:val="18"/>
        </w:rPr>
        <w:t xml:space="preserve">Delibera n.  1097, del 26 ottobre 2016 Linee Guida n. 4: </w:t>
      </w:r>
      <w:r w:rsidR="0014543D" w:rsidRPr="00230AAD">
        <w:rPr>
          <w:rFonts w:cs="Tahoma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  <w:r w:rsidR="009C3F20" w:rsidRPr="00230AAD">
        <w:rPr>
          <w:rFonts w:cs="Tahoma"/>
          <w:sz w:val="18"/>
          <w:szCs w:val="18"/>
        </w:rPr>
        <w:t>.</w:t>
      </w:r>
    </w:p>
    <w:p w:rsidR="00230AAD" w:rsidRPr="00230AAD" w:rsidRDefault="00230AAD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230AAD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230AAD">
        <w:rPr>
          <w:sz w:val="18"/>
          <w:szCs w:val="18"/>
        </w:rPr>
        <w:t xml:space="preserve"> </w:t>
      </w:r>
      <w:r w:rsidRPr="00230AAD">
        <w:rPr>
          <w:sz w:val="18"/>
          <w:szCs w:val="18"/>
          <w:u w:val="single"/>
        </w:rPr>
        <w:t>devono essere pubblicati e aggiornati sul profilo del committente, nella sezione "</w:t>
      </w:r>
      <w:r w:rsidRPr="00230AAD">
        <w:rPr>
          <w:b/>
          <w:sz w:val="18"/>
          <w:szCs w:val="18"/>
          <w:u w:val="single"/>
        </w:rPr>
        <w:t>Amministrazione trasparente</w:t>
      </w:r>
      <w:r w:rsidRPr="00230AAD">
        <w:rPr>
          <w:sz w:val="18"/>
          <w:szCs w:val="18"/>
          <w:u w:val="single"/>
        </w:rPr>
        <w:t>"</w:t>
      </w:r>
      <w:r w:rsidRPr="00230AAD">
        <w:rPr>
          <w:sz w:val="18"/>
          <w:szCs w:val="18"/>
        </w:rPr>
        <w:t>, con l'applicazione delle disposizioni di cui al decreto legislativo 14 marzo 2013, n. 33 (art. 29, comma 1, D.lgs. 50/2016)</w:t>
      </w:r>
    </w:p>
    <w:p w:rsidR="00230AAD" w:rsidRPr="00230AAD" w:rsidRDefault="00230AAD" w:rsidP="00500E17">
      <w:pPr>
        <w:spacing w:line="240" w:lineRule="auto"/>
        <w:rPr>
          <w:rFonts w:cs="Tahoma"/>
          <w:sz w:val="18"/>
          <w:szCs w:val="18"/>
        </w:rPr>
      </w:pPr>
    </w:p>
    <w:p w:rsidR="00230AAD" w:rsidRDefault="00230AAD" w:rsidP="00500E17">
      <w:pPr>
        <w:spacing w:line="240" w:lineRule="auto"/>
        <w:rPr>
          <w:rFonts w:cs="Tahoma"/>
          <w:color w:val="000000"/>
          <w:sz w:val="18"/>
          <w:szCs w:val="18"/>
        </w:rPr>
      </w:pP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"/>
        <w:gridCol w:w="5472"/>
        <w:gridCol w:w="2127"/>
        <w:gridCol w:w="544"/>
        <w:gridCol w:w="697"/>
        <w:gridCol w:w="752"/>
        <w:gridCol w:w="1262"/>
        <w:gridCol w:w="2616"/>
      </w:tblGrid>
      <w:tr w:rsidR="00EE2A5D" w:rsidRPr="004B1313">
        <w:trPr>
          <w:trHeight w:val="567"/>
          <w:tblHeader/>
          <w:jc w:val="center"/>
        </w:trPr>
        <w:tc>
          <w:tcPr>
            <w:tcW w:w="345" w:type="pct"/>
            <w:vAlign w:val="center"/>
          </w:tcPr>
          <w:p w:rsidR="00EB1F87" w:rsidRDefault="009C3F20" w:rsidP="00EB1F87">
            <w:pPr>
              <w:spacing w:line="240" w:lineRule="auto"/>
              <w:rPr>
                <w:rFonts w:cs="Tahoma"/>
                <w:b/>
                <w:bCs/>
                <w:sz w:val="18"/>
              </w:rPr>
            </w:pPr>
            <w:r w:rsidRPr="00EE2725">
              <w:rPr>
                <w:color w:val="FF0000"/>
                <w:sz w:val="18"/>
                <w:szCs w:val="18"/>
              </w:rPr>
              <w:t>.</w:t>
            </w:r>
          </w:p>
          <w:p w:rsidR="00D320F3" w:rsidRPr="004B1313" w:rsidRDefault="00D320F3" w:rsidP="00206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91" w:type="pct"/>
            <w:vAlign w:val="center"/>
          </w:tcPr>
          <w:p w:rsidR="00D320F3" w:rsidRPr="004B1313" w:rsidRDefault="00D320F3" w:rsidP="00445A6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735" w:type="pct"/>
            <w:vAlign w:val="center"/>
          </w:tcPr>
          <w:p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188" w:type="pct"/>
            <w:vAlign w:val="center"/>
          </w:tcPr>
          <w:p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41" w:type="pct"/>
            <w:vAlign w:val="center"/>
          </w:tcPr>
          <w:p w:rsidR="00D320F3" w:rsidRPr="004B1313" w:rsidRDefault="00D320F3">
            <w:pPr>
              <w:pStyle w:val="Heading5"/>
            </w:pPr>
            <w:r w:rsidRPr="004B1313">
              <w:t>NO</w:t>
            </w:r>
          </w:p>
        </w:tc>
        <w:tc>
          <w:tcPr>
            <w:tcW w:w="260" w:type="pct"/>
            <w:tcBorders>
              <w:bottom w:val="single" w:sz="2" w:space="0" w:color="auto"/>
            </w:tcBorders>
            <w:vAlign w:val="center"/>
          </w:tcPr>
          <w:p w:rsidR="00D320F3" w:rsidRPr="004B1313" w:rsidRDefault="00D320F3">
            <w:pPr>
              <w:pStyle w:val="Heading5"/>
            </w:pPr>
            <w:r w:rsidRPr="004B1313">
              <w:t>N/P</w:t>
            </w:r>
            <w:r w:rsidRPr="004B1313"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36" w:type="pct"/>
            <w:vAlign w:val="center"/>
          </w:tcPr>
          <w:p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904" w:type="pct"/>
            <w:vAlign w:val="center"/>
          </w:tcPr>
          <w:p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La procedura negoziata senza previa pubblicazione è stata utilizzata perché: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1.a.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 xml:space="preserve">non è stata presentata alcuna offerta o alcuna offerta appropriata, né alcuna domanda di partecipazione o alcuna domanda di partecipazione appropriata, in esito all'esperimento di una procedura aperta o ristretta, e le condizioni iniziali dell'appalto non sono state sostanzialmente modificate ed è stata trasmessa una relazione alla Commissione europea, su sua </w:t>
            </w:r>
            <w:r w:rsidRPr="004B1313">
              <w:rPr>
                <w:rFonts w:cs="Tahoma"/>
                <w:sz w:val="18"/>
                <w:szCs w:val="18"/>
              </w:rPr>
              <w:lastRenderedPageBreak/>
              <w:t>richiesta;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lastRenderedPageBreak/>
              <w:t>Art. 63(2.a) D.lgs.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:rsidR="000F2DE1" w:rsidRDefault="000F2DE1">
      <w:r>
        <w:br w:type="page"/>
      </w: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"/>
        <w:gridCol w:w="5472"/>
        <w:gridCol w:w="2127"/>
        <w:gridCol w:w="544"/>
        <w:gridCol w:w="697"/>
        <w:gridCol w:w="752"/>
        <w:gridCol w:w="1262"/>
        <w:gridCol w:w="2616"/>
      </w:tblGrid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lastRenderedPageBreak/>
              <w:t>1.b.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i lavori sono stati forniti unicamente da un determinato operatore economico per una delle seguenti ragioni: </w:t>
            </w:r>
            <w:r w:rsidRPr="004B1313">
              <w:rPr>
                <w:rFonts w:cs="Tahoma"/>
                <w:sz w:val="18"/>
                <w:szCs w:val="18"/>
              </w:rPr>
              <w:br/>
              <w:t>1) lo scopo dell'appalto consiste nella creazione o nell'acquisizione di un'opera d'arte o rappresentazione artistica unica; </w:t>
            </w:r>
            <w:r w:rsidRPr="004B1313">
              <w:rPr>
                <w:rFonts w:cs="Tahoma"/>
                <w:sz w:val="18"/>
                <w:szCs w:val="18"/>
              </w:rPr>
              <w:br/>
              <w:t>2) la concorrenza è assente per motivi tecnici; </w:t>
            </w:r>
            <w:r w:rsidRPr="004B1313">
              <w:rPr>
                <w:rFonts w:cs="Tahoma"/>
                <w:sz w:val="18"/>
                <w:szCs w:val="18"/>
              </w:rPr>
              <w:br/>
              <w:t>3) la tutela di diritti esclusivi, inclusi i diritti di proprietà intellettuale.</w:t>
            </w:r>
          </w:p>
          <w:p w:rsidR="000F2DE1" w:rsidRPr="004B1313" w:rsidRDefault="000F2DE1" w:rsidP="000F2DE1">
            <w:pPr>
              <w:spacing w:line="240" w:lineRule="auto"/>
              <w:ind w:left="19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Le suelencate eccezioni si applicano solo quando non esistono altri operatori economici o soluzioni alternative ragionevoli e l'assenza di concorrenza non è il risultato di una limitazione artificiale dei parametri dell'appalto;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63(2.b) D.lgs.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1.c.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nella misura strettamente necessaria quando, per ragioni di estrema urgenza derivante da eventi imprevedibili dall'amministrazione aggiudicatrice, i termini per le procedure aperte o per le procedure ristrette o per le procedure competitive con negoziazione non potevano essere rispettati. Le circostanze invocate a giustificazione del ricorso alla presente procedura non devono essere in alcun caso imputabili all’Amministrazione aggiudicatrice;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63(2.c) D.lgs.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1.d.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 xml:space="preserve">i nuovi lavori consistono nella ripetizione di lavori analoghi, già affidati all'operatore economico aggiudicatario dell'appalto iniziale dalla medesima Amministrazione aggiudicatrice, a condizione che tali lavori sono conformi al progetto posto a base della gara iniziale e che tale progetto sia stato oggetto di un primo appalto aggiudicato secondo una procedura aperta o ristretta, previa pubblicazione di un bando o avviso di indizione di gara (sono previste altresì la procedura di partenariato per l'innovazione quando sussistono i presupposti previsti dall'articolo 65, la procedura competitiva con negoziazione e il dialogo competitivo quando sussistono i presupposti previsti dall’art. 59, comma 2 e la procedura negoziata senza previa pubblicazione di un bando di gara quando sussistono i presupposti previsti dall'articolo 63 del codice appalti). Il progetto a base di gara indica l'entità di eventuali lavori o servizi complementari e le condizioni alle quali essi verranno aggiudicati. La possibilità di avvalersi della procedura prevista dal presente articolo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35, comma 1 del codice appalti. Il ricorso a questa procedura è limitato al triennio successivo alla stipulazione del contratto dell'appalto </w:t>
            </w:r>
            <w:r w:rsidRPr="004B1313">
              <w:rPr>
                <w:rFonts w:cs="Tahoma"/>
                <w:sz w:val="18"/>
                <w:szCs w:val="18"/>
              </w:rPr>
              <w:lastRenderedPageBreak/>
              <w:t>iniziale;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lastRenderedPageBreak/>
              <w:t>Art. 63(5) D.lgs.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2.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 xml:space="preserve">Verifica del rispetto del numero minimo da invitare a presentare offerte. </w:t>
            </w:r>
            <w:r w:rsidRPr="004B1313">
              <w:rPr>
                <w:rFonts w:cs="Tahoma"/>
                <w:sz w:val="18"/>
                <w:szCs w:val="18"/>
              </w:rPr>
              <w:t>L’Amministrazione ha individuato gli operatori economici da consultare sulla base di informazioni riguardanti le caratteristiche di qualificazione economica e finanziaria e tecniche e professionali desunte dal mercato, nel rispetto dei principi di trasparenza, concorrenza, rotazione, e selezionano almeno cinque operatori economici, se sussistono in tale numero soggetti idonei. Tutti gli operatori da invitare alla gara devono possedere i requisiti di partecipazione previsti per l'affidamento di contratti di uguale importo mediante procedura aperta, ristretta o mediante procedura competitiva con negoziazione.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63(6) D.lgs.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</w:t>
            </w:r>
          </w:p>
        </w:tc>
        <w:tc>
          <w:tcPr>
            <w:tcW w:w="1891" w:type="pct"/>
            <w:vAlign w:val="center"/>
          </w:tcPr>
          <w:p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Per individuare i fornitori da invitare alla gara:</w:t>
            </w:r>
          </w:p>
        </w:tc>
        <w:tc>
          <w:tcPr>
            <w:tcW w:w="735" w:type="pct"/>
            <w:vAlign w:val="center"/>
          </w:tcPr>
          <w:p w:rsidR="000F2DE1" w:rsidRPr="00230AAD" w:rsidRDefault="000832B7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Delibera n.  1097, del 26 ottobre 2016 Linee Guida n. 4: </w:t>
            </w:r>
            <w:r w:rsidR="000F2DE1" w:rsidRPr="00230AAD">
              <w:rPr>
                <w:rFonts w:cs="Tahoma"/>
                <w:sz w:val="18"/>
                <w:szCs w:val="18"/>
              </w:rPr>
              <w:t>Procedure per l’affidamento dei contratti pubblici di importo inferiore alle soglie di rilevanza comunitaria, indagini di mercato e formazione e gestione degli elenchi di operatori economici. Punto 4.1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3.a.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indagine di mercato eventualmente distinta per fascia di importo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3.b.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costituzione dell’elenco dei fornitori eventualmente distinti per categoria e fascia d’importo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3.c.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4.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Atto di approvazione dell’invito a presentare un’offerta. L’invito bando deve contenere le informazioni di cui all'allegato XV del codice appalti. Esso di norma viene inviato a mezzo di posta elettronica certificata ovvero, quando ciò non è possibile, con lettera.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>Art. 75 D.lgs. 50/2016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highlight w:val="cyan"/>
              </w:rPr>
            </w:pPr>
            <w:r w:rsidRPr="004B1313"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spacing w:line="240" w:lineRule="auto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Verifica del rispetto dei termini per la ricezione delle offerte. Nel fissare i termini per la ricezione delle domande di partecipazione e delle offerte, le amministrazioni aggiudicatrici tengono conto in particolare della complessità dell'appalto e del tempo necessario per preparare le offerte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</w:rPr>
              <w:t>Art. 79(1) D.lgs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B958DE">
        <w:trPr>
          <w:trHeight w:val="375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lastRenderedPageBreak/>
              <w:t>6.</w:t>
            </w:r>
          </w:p>
        </w:tc>
        <w:tc>
          <w:tcPr>
            <w:tcW w:w="1891" w:type="pct"/>
            <w:vAlign w:val="center"/>
          </w:tcPr>
          <w:p w:rsidR="000F2DE1" w:rsidRPr="00846FB4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partecipanti.</w:t>
            </w:r>
          </w:p>
        </w:tc>
        <w:tc>
          <w:tcPr>
            <w:tcW w:w="735" w:type="pct"/>
            <w:vAlign w:val="center"/>
          </w:tcPr>
          <w:p w:rsidR="000F2DE1" w:rsidRPr="00846FB4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Artt. 80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, 81</w:t>
            </w: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 xml:space="preserve"> e 84 D.lgs. 50/16</w:t>
            </w:r>
          </w:p>
          <w:p w:rsidR="000F2DE1" w:rsidRPr="00846FB4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:rsidR="000F2DE1" w:rsidRPr="00846FB4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Art. 213 Dlgs.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C3F20" w:rsidRPr="000F2DE1">
        <w:trPr>
          <w:trHeight w:val="375"/>
          <w:jc w:val="center"/>
        </w:trPr>
        <w:tc>
          <w:tcPr>
            <w:tcW w:w="345" w:type="pct"/>
            <w:vAlign w:val="center"/>
          </w:tcPr>
          <w:p w:rsidR="009C3F20" w:rsidRPr="00230AAD" w:rsidRDefault="009C3F20" w:rsidP="009C3F2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230AAD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91" w:type="pct"/>
            <w:vAlign w:val="center"/>
          </w:tcPr>
          <w:p w:rsidR="009C3F20" w:rsidRPr="00230AAD" w:rsidRDefault="009C3F20" w:rsidP="009C3F20">
            <w:pPr>
              <w:pStyle w:val="BodyText2"/>
              <w:jc w:val="both"/>
              <w:rPr>
                <w:b/>
                <w:sz w:val="18"/>
                <w:szCs w:val="18"/>
                <w:u w:val="single"/>
              </w:rPr>
            </w:pPr>
            <w:r w:rsidRPr="00230AAD">
              <w:rPr>
                <w:b/>
                <w:sz w:val="18"/>
                <w:szCs w:val="18"/>
                <w:u w:val="single"/>
              </w:rPr>
              <w:t>Regime Transitorio</w:t>
            </w:r>
          </w:p>
          <w:p w:rsidR="009C3F20" w:rsidRPr="00230AAD" w:rsidRDefault="009C3F20" w:rsidP="009C3F20">
            <w:pPr>
              <w:pStyle w:val="BodyText2"/>
              <w:jc w:val="both"/>
              <w:rPr>
                <w:b/>
                <w:sz w:val="18"/>
                <w:szCs w:val="18"/>
                <w:u w:val="single"/>
              </w:rPr>
            </w:pPr>
            <w:r w:rsidRPr="00230AAD">
              <w:rPr>
                <w:sz w:val="18"/>
                <w:szCs w:val="18"/>
                <w:u w:val="single"/>
              </w:rPr>
              <w:t>(fino alla data che sarà indicata dal decreto previsto all'articolo 73, comma 4, del D.lgs. 50/16):</w:t>
            </w:r>
          </w:p>
          <w:p w:rsidR="009C3F20" w:rsidRPr="00230AAD" w:rsidRDefault="009C3F20" w:rsidP="009C3F20">
            <w:pPr>
              <w:pStyle w:val="BodyText2"/>
              <w:numPr>
                <w:ilvl w:val="0"/>
                <w:numId w:val="18"/>
              </w:numPr>
              <w:ind w:left="377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La pubblicazione, per gli effetti giuridici, va effettuata, oltre che sul profilo del Committente anche nella GURI - serie speciale - relativa ai contratti pubblici. Gli effetti giuridici decorrono dalla pubblicazione nella GURI;</w:t>
            </w:r>
          </w:p>
          <w:p w:rsidR="009C3F20" w:rsidRPr="00230AAD" w:rsidRDefault="009C3F20" w:rsidP="009C3F20">
            <w:pPr>
              <w:pStyle w:val="BodyText2"/>
              <w:numPr>
                <w:ilvl w:val="0"/>
                <w:numId w:val="18"/>
              </w:numPr>
              <w:ind w:left="377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le spese per la pubblicazione sulla GURI vanno rimborsate alla stazione appaltante dall'aggiudicatario entro il termine di sessanta giorni dall'aggiudicazione;</w:t>
            </w:r>
          </w:p>
          <w:p w:rsidR="00EB1F87" w:rsidRPr="00230AAD" w:rsidRDefault="00EB1F87" w:rsidP="00EB1F87">
            <w:pPr>
              <w:pStyle w:val="BodyText2"/>
              <w:ind w:left="17"/>
              <w:jc w:val="both"/>
              <w:rPr>
                <w:sz w:val="18"/>
                <w:szCs w:val="18"/>
                <w:u w:val="single"/>
              </w:rPr>
            </w:pPr>
            <w:r w:rsidRPr="00230AAD">
              <w:rPr>
                <w:sz w:val="18"/>
                <w:szCs w:val="18"/>
                <w:u w:val="single"/>
              </w:rPr>
              <w:t>dal 1 gennaio 2017:</w:t>
            </w:r>
          </w:p>
          <w:p w:rsidR="00EB1F87" w:rsidRPr="00230AAD" w:rsidRDefault="00EB1F87" w:rsidP="00EB1F87">
            <w:pPr>
              <w:pStyle w:val="BodyText2"/>
              <w:ind w:left="234" w:hanging="234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c1) Gli avvisi e i bandi devono essere altresì pubblicati, non oltre due giorni lavorativi dopo, anche sul sito informatico del Ministero delle infrastrutture e sul sito informatico presso l'Osservatorio, con l'indicazione degli estremi di pubblicazione sulla GURI. La pubblicazione nella GURI viene effettuata entro il 6° giorno feriale successivo a quello del ricevimento della documentazione da parte dell'Ufficio inserzioni dell'Istituto poligrafico e zecca dello Stato. La pubblicazione di informazioni ulteriori, complementari o aggiuntive rispetto a quelle indicate avviene esclusivamente in via telematica e non può comportare oneri finanziari a carico delle stazioni appaltanti</w:t>
            </w:r>
          </w:p>
          <w:p w:rsidR="00EB1F87" w:rsidRPr="00230AAD" w:rsidRDefault="00EB1F87" w:rsidP="00EB1F87">
            <w:pPr>
              <w:pStyle w:val="BodyText2"/>
              <w:jc w:val="both"/>
              <w:rPr>
                <w:sz w:val="18"/>
                <w:szCs w:val="18"/>
                <w:u w:val="single"/>
              </w:rPr>
            </w:pPr>
            <w:r w:rsidRPr="00230AAD">
              <w:rPr>
                <w:sz w:val="18"/>
                <w:szCs w:val="18"/>
                <w:u w:val="single"/>
              </w:rPr>
              <w:t>fino al 31/12/2016:</w:t>
            </w:r>
          </w:p>
          <w:p w:rsidR="009C3F20" w:rsidRPr="00230AAD" w:rsidRDefault="00EB1F87" w:rsidP="00EB1F87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 xml:space="preserve">c2) Gli avvisi e i bandi devono essere altresì pubblicati, non oltre due giorni lavorativi dopo, anche sul sito informatico del Ministero delle infrastrutture e sul sito informatico presso l'Osservatorio, con l'indicazione degli estremi di pubblicazione sulla GURI. </w:t>
            </w:r>
            <w:r w:rsidRPr="00230AAD">
              <w:rPr>
                <w:i/>
                <w:sz w:val="18"/>
                <w:szCs w:val="18"/>
              </w:rPr>
              <w:t>Gli avvisi e i bandi vanno altresì pubblicati, dopo 12 giorni dalla trasmissione alla Commissione Europea, ovvero dopo 5 giorni da detta trasmissione in caso di procedure urgenti di cui all'articolo 70, comma 11 del D.lgs. 163/2006, per estratto su almeno due dei principali quotidiani a diffusione nazionale e su almeno due a maggiore diffusione locale nel luogo ove si eseguono i contratti</w:t>
            </w:r>
            <w:r w:rsidRPr="00230AAD">
              <w:rPr>
                <w:sz w:val="18"/>
                <w:szCs w:val="18"/>
              </w:rPr>
              <w:t>. La pubblicazione nella GURI viene effettuata entro il 6° giorno feriale successivo a quello del ricevimento della documentazione da parte dell'Ufficio inserzioni dell'Istituto poligrafico e zecca dello Stato.</w:t>
            </w:r>
          </w:p>
        </w:tc>
        <w:tc>
          <w:tcPr>
            <w:tcW w:w="735" w:type="pct"/>
            <w:vAlign w:val="center"/>
          </w:tcPr>
          <w:p w:rsidR="009C3F20" w:rsidRPr="00230AAD" w:rsidRDefault="009C3F20" w:rsidP="009C3F20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230AAD">
              <w:rPr>
                <w:rFonts w:cs="Tahoma"/>
                <w:sz w:val="18"/>
                <w:szCs w:val="18"/>
                <w:lang w:val="en-GB"/>
              </w:rPr>
              <w:t>Art. 73(4)(5) D.lgs. 50/2016</w:t>
            </w:r>
          </w:p>
          <w:p w:rsidR="009C3F20" w:rsidRPr="00230AAD" w:rsidRDefault="009C3F20" w:rsidP="009C3F20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230AAD">
              <w:rPr>
                <w:rFonts w:cs="Tahoma"/>
                <w:sz w:val="18"/>
                <w:szCs w:val="18"/>
                <w:lang w:val="en-GB"/>
              </w:rPr>
              <w:t>Art. 216(11) D.lgs. 50/2016</w:t>
            </w:r>
          </w:p>
          <w:p w:rsidR="009C3F20" w:rsidRPr="00230AAD" w:rsidRDefault="009C3F20" w:rsidP="009C3F2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sz w:val="18"/>
                <w:szCs w:val="18"/>
                <w:lang w:val="en-GB"/>
              </w:rPr>
              <w:t>Art. 66(7) D.lgs. 163/2006</w:t>
            </w:r>
          </w:p>
          <w:p w:rsidR="009C3F20" w:rsidRPr="00230AAD" w:rsidRDefault="009C3F20" w:rsidP="009C3F2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</w:tc>
        <w:tc>
          <w:tcPr>
            <w:tcW w:w="188" w:type="pct"/>
            <w:vAlign w:val="center"/>
          </w:tcPr>
          <w:p w:rsidR="009C3F20" w:rsidRPr="004B1313" w:rsidRDefault="009C3F20" w:rsidP="009C3F2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9C3F20" w:rsidRPr="004B1313" w:rsidRDefault="009C3F20" w:rsidP="009C3F2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3F20" w:rsidRPr="004B1313" w:rsidRDefault="009C3F20" w:rsidP="009C3F2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9C3F20" w:rsidRPr="004B1313" w:rsidRDefault="009C3F20" w:rsidP="009C3F2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9C3F20" w:rsidRPr="004B1313" w:rsidRDefault="009C3F20" w:rsidP="009C3F2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lastRenderedPageBreak/>
              <w:t>7.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Verifica ed eventuale esclusione di offerte finali anormalmente basse.  La facoltà di esclusione automatica non è esercitabile quando il numero delle offerte ammesse è inferiore a dieci.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 xml:space="preserve">Art. 97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91" w:type="pct"/>
            <w:vAlign w:val="center"/>
          </w:tcPr>
          <w:p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Valutazione delle offerte e proposta di aggiudicazione dell’appalto secondo il criterio dell’offerta economicamente più vantaggiosa individuata sulla base del migliore rapporto qualità/prezzo.</w:t>
            </w:r>
          </w:p>
        </w:tc>
        <w:tc>
          <w:tcPr>
            <w:tcW w:w="735" w:type="pct"/>
            <w:vAlign w:val="center"/>
          </w:tcPr>
          <w:p w:rsidR="000F2DE1" w:rsidRPr="00230AAD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Art. 63(6) D.lgs 50/16</w:t>
            </w:r>
          </w:p>
          <w:p w:rsidR="000F2DE1" w:rsidRPr="00230AAD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:rsidR="000F2DE1" w:rsidRPr="00230AAD" w:rsidRDefault="000832B7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Delibera ANAC 1005 del 21/09/2016, Linee guida N.2: </w:t>
            </w:r>
            <w:r w:rsidR="000F2DE1" w:rsidRPr="00230AAD">
              <w:rPr>
                <w:rFonts w:cs="Tahoma"/>
                <w:sz w:val="18"/>
                <w:szCs w:val="18"/>
              </w:rPr>
              <w:t>Offerta Economicamente Più Vantaggiosa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9.</w:t>
            </w:r>
          </w:p>
        </w:tc>
        <w:tc>
          <w:tcPr>
            <w:tcW w:w="1891" w:type="pct"/>
            <w:vAlign w:val="center"/>
          </w:tcPr>
          <w:p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Redazione del verbale di attività da parte del RUP ovvero dalla Commissione giudicatrice</w:t>
            </w:r>
          </w:p>
        </w:tc>
        <w:tc>
          <w:tcPr>
            <w:tcW w:w="735" w:type="pct"/>
            <w:vAlign w:val="center"/>
          </w:tcPr>
          <w:p w:rsidR="000F2DE1" w:rsidRPr="00230AAD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 xml:space="preserve">Su richiesta scritta della parte interessata, comunicazione per iscritto: </w:t>
            </w:r>
          </w:p>
          <w:p w:rsidR="000F2DE1" w:rsidRPr="00230AAD" w:rsidRDefault="000F2DE1" w:rsidP="000F2DE1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ad ogni offerente escluso dei motivi del rigetto della sua offerta;</w:t>
            </w:r>
          </w:p>
          <w:p w:rsidR="000F2DE1" w:rsidRPr="00230AAD" w:rsidRDefault="000F2DE1" w:rsidP="000F2DE1">
            <w:pPr>
              <w:pStyle w:val="BodyText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ad ogni offerente che abbia presentato un'offerta valutata, delle caratteristiche e i vantaggi dell'offerta selezionata e del nome dell'offerente cui è stato aggiudicato il contratto (o lo svolgimento e l’andamento delle negoziazioni e del dialogo con gli offerenti).</w:t>
            </w:r>
          </w:p>
          <w:p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735" w:type="pct"/>
            <w:vAlign w:val="center"/>
          </w:tcPr>
          <w:p w:rsidR="000F2DE1" w:rsidRPr="00230AAD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76(2) </w:t>
            </w:r>
            <w:r w:rsidRPr="00230AAD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11</w:t>
            </w:r>
            <w:r w:rsidRPr="004B1313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91" w:type="pct"/>
            <w:vAlign w:val="center"/>
          </w:tcPr>
          <w:p w:rsidR="000832B7" w:rsidRPr="00230AAD" w:rsidRDefault="000832B7" w:rsidP="000832B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Vanno comunicati d’ufficio:</w:t>
            </w:r>
          </w:p>
          <w:p w:rsidR="000832B7" w:rsidRPr="00230AAD" w:rsidRDefault="000832B7" w:rsidP="000832B7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l’aggiudicazione definitiva, a tutti i candidati;</w:t>
            </w:r>
          </w:p>
          <w:p w:rsidR="000832B7" w:rsidRPr="00230AAD" w:rsidRDefault="000832B7" w:rsidP="000832B7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l'esclusione, agli offerenti esclusi; </w:t>
            </w:r>
          </w:p>
          <w:p w:rsidR="000832B7" w:rsidRPr="00230AAD" w:rsidRDefault="000832B7" w:rsidP="000832B7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:rsidR="000F2DE1" w:rsidRPr="00230AAD" w:rsidRDefault="000832B7" w:rsidP="000832B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230AAD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230AAD">
              <w:rPr>
                <w:rFonts w:cs="Tahoma"/>
                <w:sz w:val="18"/>
                <w:szCs w:val="18"/>
              </w:rPr>
              <w:t xml:space="preserve"> e vanno effettuate tramite PEC </w:t>
            </w:r>
            <w:r w:rsidR="000F2DE1" w:rsidRPr="00230AAD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735" w:type="pct"/>
            <w:vAlign w:val="center"/>
          </w:tcPr>
          <w:p w:rsidR="000F2DE1" w:rsidRPr="00230AAD" w:rsidRDefault="000F2DE1" w:rsidP="000F2DE1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76(5) </w:t>
            </w:r>
            <w:r w:rsidRPr="00230AAD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</w:t>
            </w:r>
            <w:r w:rsidR="009C3F20">
              <w:rPr>
                <w:rFonts w:cs="Tahoma"/>
                <w:sz w:val="18"/>
              </w:rPr>
              <w:t>2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:rsidR="000F2DE1" w:rsidRPr="004B1313" w:rsidRDefault="000F2DE1" w:rsidP="000F2DE1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relativo ai risultati della procedura di aggiudicazione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è pubblicato secondo le modalità di pubblicazione di cui all'articolo 72, conforme all'allegato XIV, Parte I, lettera D, del D.lgs. 50/16 entro trenta giorni dall'aggiudicazione dell'appalto.</w:t>
            </w:r>
          </w:p>
        </w:tc>
        <w:tc>
          <w:tcPr>
            <w:tcW w:w="735" w:type="pct"/>
            <w:vAlign w:val="center"/>
          </w:tcPr>
          <w:p w:rsidR="000F2DE1" w:rsidRPr="00B00CB7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B96AE5">
              <w:rPr>
                <w:rFonts w:cs="Tahoma"/>
                <w:sz w:val="18"/>
                <w:szCs w:val="18"/>
              </w:rPr>
              <w:t xml:space="preserve">Artt. 29(1 e 4), 98(1 e 2) e 72(6)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:rsidR="000F2DE1" w:rsidRPr="00B00CB7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B00CB7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B00CB7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B00CB7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:rsidR="000F2DE1" w:rsidRPr="00B00CB7" w:rsidRDefault="000F2DE1" w:rsidP="000F2DE1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F95B32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t>1</w:t>
            </w:r>
            <w:r w:rsidR="009C3F20">
              <w:rPr>
                <w:rFonts w:cs="Tahoma"/>
                <w:sz w:val="18"/>
              </w:rPr>
              <w:t>3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:rsidR="000F2DE1" w:rsidRPr="00F95B32" w:rsidRDefault="000F2DE1" w:rsidP="000F2DE1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Stipula del contratto di appalto. Rispetto del termine sospensivo, ove previsto, e modalità di sottoscrizione.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jc w:val="center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32(9, 10 e 14)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F95B32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lastRenderedPageBreak/>
              <w:t>1</w:t>
            </w:r>
            <w:r w:rsidR="009C3F20">
              <w:rPr>
                <w:rFonts w:cs="Tahoma"/>
                <w:sz w:val="18"/>
              </w:rPr>
              <w:t>4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:rsidR="000F2DE1" w:rsidRPr="00F95B32" w:rsidRDefault="000F2DE1" w:rsidP="000F2DE1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Comunicazione della data di avvenuta stipulazione del contratto con l’aggiudicatario, tempestivamente e comunque entro un termine on superiore a cinque giorni, ai soggetti di cui alla lettera a) del comma 5 dell’art. 76 del D.lgs. 50/16</w:t>
            </w:r>
          </w:p>
        </w:tc>
        <w:tc>
          <w:tcPr>
            <w:tcW w:w="735" w:type="pct"/>
            <w:vAlign w:val="center"/>
          </w:tcPr>
          <w:p w:rsidR="000F2DE1" w:rsidRPr="004B1313" w:rsidRDefault="000F2DE1" w:rsidP="000F2DE1">
            <w:pPr>
              <w:jc w:val="center"/>
              <w:rPr>
                <w:rFonts w:cs="Tahoma"/>
                <w:sz w:val="18"/>
                <w:szCs w:val="18"/>
              </w:rPr>
            </w:pPr>
            <w:r w:rsidRPr="00012577">
              <w:rPr>
                <w:rFonts w:cs="Tahoma"/>
                <w:sz w:val="18"/>
                <w:szCs w:val="18"/>
              </w:rPr>
              <w:t xml:space="preserve">Art. 76(5d)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F2DE1" w:rsidRPr="004B1313">
        <w:trPr>
          <w:trHeight w:val="567"/>
          <w:jc w:val="center"/>
        </w:trPr>
        <w:tc>
          <w:tcPr>
            <w:tcW w:w="345" w:type="pct"/>
            <w:vAlign w:val="center"/>
          </w:tcPr>
          <w:p w:rsidR="000F2DE1" w:rsidRPr="00F95B32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9C3F20">
              <w:rPr>
                <w:rFonts w:cs="Tahoma"/>
                <w:sz w:val="18"/>
              </w:rPr>
              <w:t>5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:rsidR="000F2DE1" w:rsidRPr="00846FB4" w:rsidRDefault="000F2DE1" w:rsidP="000F2DE1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735" w:type="pct"/>
            <w:vAlign w:val="center"/>
          </w:tcPr>
          <w:p w:rsidR="000F2DE1" w:rsidRPr="00846FB4" w:rsidRDefault="000F2DE1" w:rsidP="000F2DE1">
            <w:pPr>
              <w:jc w:val="center"/>
              <w:rPr>
                <w:rFonts w:cs="Tahoma"/>
                <w:sz w:val="18"/>
                <w:szCs w:val="18"/>
              </w:rPr>
            </w:pPr>
            <w:r w:rsidRPr="00846FB4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</w:tbl>
    <w:p w:rsidR="00D320F3" w:rsidRDefault="00D320F3">
      <w:pPr>
        <w:rPr>
          <w:lang w:val="de-DE"/>
        </w:rPr>
      </w:pPr>
    </w:p>
    <w:p w:rsidR="00B958DE" w:rsidRDefault="00B958DE">
      <w:pPr>
        <w:rPr>
          <w:lang w:val="de-DE"/>
        </w:rPr>
      </w:pPr>
    </w:p>
    <w:p w:rsidR="00B958DE" w:rsidRDefault="00B958DE">
      <w:pPr>
        <w:rPr>
          <w:lang w:val="de-DE"/>
        </w:rPr>
      </w:pPr>
    </w:p>
    <w:p w:rsidR="00B958DE" w:rsidRDefault="00B958DE">
      <w:pPr>
        <w:rPr>
          <w:lang w:val="de-DE"/>
        </w:rPr>
      </w:pPr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sectPr w:rsidR="00B958DE" w:rsidSect="00D320F3">
      <w:headerReference w:type="default" r:id="rId7"/>
      <w:footerReference w:type="even" r:id="rId8"/>
      <w:footerReference w:type="default" r:id="rId9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928" w:rsidRDefault="00183928">
      <w:r>
        <w:separator/>
      </w:r>
    </w:p>
  </w:endnote>
  <w:endnote w:type="continuationSeparator" w:id="0">
    <w:p w:rsidR="00183928" w:rsidRDefault="0018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0F3" w:rsidRDefault="003F50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20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20F3" w:rsidRDefault="00D320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0F3" w:rsidRPr="00025C2A" w:rsidRDefault="003F508C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D320F3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B958DE">
      <w:rPr>
        <w:rStyle w:val="PageNumber"/>
        <w:noProof/>
        <w:sz w:val="16"/>
        <w:szCs w:val="16"/>
      </w:rPr>
      <w:t>2</w:t>
    </w:r>
    <w:r w:rsidRPr="00025C2A">
      <w:rPr>
        <w:rStyle w:val="PageNumber"/>
        <w:sz w:val="16"/>
        <w:szCs w:val="16"/>
      </w:rPr>
      <w:fldChar w:fldCharType="end"/>
    </w:r>
  </w:p>
  <w:p w:rsidR="00D320F3" w:rsidRDefault="00D320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928" w:rsidRDefault="00183928">
      <w:r>
        <w:separator/>
      </w:r>
    </w:p>
  </w:footnote>
  <w:footnote w:type="continuationSeparator" w:id="0">
    <w:p w:rsidR="00183928" w:rsidRDefault="00183928">
      <w:r>
        <w:continuationSeparator/>
      </w:r>
    </w:p>
  </w:footnote>
  <w:footnote w:id="1">
    <w:p w:rsidR="00D320F3" w:rsidRDefault="00D320F3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1D" w:rsidRDefault="00987B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1F8"/>
    <w:multiLevelType w:val="hybridMultilevel"/>
    <w:tmpl w:val="6C08E1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2C68"/>
    <w:multiLevelType w:val="hybridMultilevel"/>
    <w:tmpl w:val="71E012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32D16"/>
    <w:multiLevelType w:val="hybridMultilevel"/>
    <w:tmpl w:val="1B94530A"/>
    <w:lvl w:ilvl="0" w:tplc="8AEAB4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6"/>
  </w:num>
  <w:num w:numId="5">
    <w:abstractNumId w:val="3"/>
  </w:num>
  <w:num w:numId="6">
    <w:abstractNumId w:val="14"/>
  </w:num>
  <w:num w:numId="7">
    <w:abstractNumId w:val="9"/>
  </w:num>
  <w:num w:numId="8">
    <w:abstractNumId w:val="8"/>
  </w:num>
  <w:num w:numId="9">
    <w:abstractNumId w:val="13"/>
  </w:num>
  <w:num w:numId="10">
    <w:abstractNumId w:val="1"/>
  </w:num>
  <w:num w:numId="11">
    <w:abstractNumId w:val="11"/>
  </w:num>
  <w:num w:numId="12">
    <w:abstractNumId w:val="10"/>
  </w:num>
  <w:num w:numId="13">
    <w:abstractNumId w:val="0"/>
  </w:num>
  <w:num w:numId="14">
    <w:abstractNumId w:val="4"/>
  </w:num>
  <w:num w:numId="15">
    <w:abstractNumId w:val="16"/>
  </w:num>
  <w:num w:numId="16">
    <w:abstractNumId w:val="5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14"/>
    <w:rsid w:val="00012577"/>
    <w:rsid w:val="000174A3"/>
    <w:rsid w:val="000259D7"/>
    <w:rsid w:val="00025C2A"/>
    <w:rsid w:val="000358B7"/>
    <w:rsid w:val="0006186D"/>
    <w:rsid w:val="000623F1"/>
    <w:rsid w:val="00071F35"/>
    <w:rsid w:val="00072C09"/>
    <w:rsid w:val="000832B7"/>
    <w:rsid w:val="00085037"/>
    <w:rsid w:val="00093B6B"/>
    <w:rsid w:val="00094D0D"/>
    <w:rsid w:val="00095D16"/>
    <w:rsid w:val="000A0831"/>
    <w:rsid w:val="000B328B"/>
    <w:rsid w:val="000C0DCF"/>
    <w:rsid w:val="000C0EF6"/>
    <w:rsid w:val="000C5726"/>
    <w:rsid w:val="000E2E1E"/>
    <w:rsid w:val="000F2DE1"/>
    <w:rsid w:val="00103568"/>
    <w:rsid w:val="00112AF0"/>
    <w:rsid w:val="00113602"/>
    <w:rsid w:val="00124E87"/>
    <w:rsid w:val="00130F10"/>
    <w:rsid w:val="00137D08"/>
    <w:rsid w:val="0014543D"/>
    <w:rsid w:val="00154E56"/>
    <w:rsid w:val="00171B8B"/>
    <w:rsid w:val="00183928"/>
    <w:rsid w:val="00185D62"/>
    <w:rsid w:val="001C0FB6"/>
    <w:rsid w:val="001C3451"/>
    <w:rsid w:val="001C3D71"/>
    <w:rsid w:val="001D2934"/>
    <w:rsid w:val="001D37C6"/>
    <w:rsid w:val="001E5CF0"/>
    <w:rsid w:val="001E74C1"/>
    <w:rsid w:val="002050BC"/>
    <w:rsid w:val="002062F6"/>
    <w:rsid w:val="002167C0"/>
    <w:rsid w:val="002250C0"/>
    <w:rsid w:val="002261EF"/>
    <w:rsid w:val="00230AAD"/>
    <w:rsid w:val="00236607"/>
    <w:rsid w:val="00247414"/>
    <w:rsid w:val="0027092D"/>
    <w:rsid w:val="00276467"/>
    <w:rsid w:val="00277582"/>
    <w:rsid w:val="002907BC"/>
    <w:rsid w:val="00293B70"/>
    <w:rsid w:val="002968C6"/>
    <w:rsid w:val="002977EC"/>
    <w:rsid w:val="002A38C5"/>
    <w:rsid w:val="002C1FF8"/>
    <w:rsid w:val="002D3438"/>
    <w:rsid w:val="002E1D54"/>
    <w:rsid w:val="00327AF2"/>
    <w:rsid w:val="003333D7"/>
    <w:rsid w:val="0036335A"/>
    <w:rsid w:val="00371A37"/>
    <w:rsid w:val="003728CD"/>
    <w:rsid w:val="0037627E"/>
    <w:rsid w:val="00392A9D"/>
    <w:rsid w:val="003A4101"/>
    <w:rsid w:val="003B2DC6"/>
    <w:rsid w:val="003D577E"/>
    <w:rsid w:val="003D6B84"/>
    <w:rsid w:val="003F4A10"/>
    <w:rsid w:val="003F508C"/>
    <w:rsid w:val="003F6742"/>
    <w:rsid w:val="003F7A10"/>
    <w:rsid w:val="00406A1F"/>
    <w:rsid w:val="00406E5C"/>
    <w:rsid w:val="00412A3A"/>
    <w:rsid w:val="00431B98"/>
    <w:rsid w:val="00434C5F"/>
    <w:rsid w:val="00445A6B"/>
    <w:rsid w:val="00447313"/>
    <w:rsid w:val="004532AA"/>
    <w:rsid w:val="004558B1"/>
    <w:rsid w:val="004570D1"/>
    <w:rsid w:val="004609AC"/>
    <w:rsid w:val="00462813"/>
    <w:rsid w:val="00477040"/>
    <w:rsid w:val="00492A4E"/>
    <w:rsid w:val="004B1313"/>
    <w:rsid w:val="004B3DEE"/>
    <w:rsid w:val="004B56A9"/>
    <w:rsid w:val="004D4335"/>
    <w:rsid w:val="004E4AEB"/>
    <w:rsid w:val="004E6171"/>
    <w:rsid w:val="00500E17"/>
    <w:rsid w:val="0050320F"/>
    <w:rsid w:val="00512656"/>
    <w:rsid w:val="00512A97"/>
    <w:rsid w:val="00514752"/>
    <w:rsid w:val="005409D2"/>
    <w:rsid w:val="00576364"/>
    <w:rsid w:val="005C150B"/>
    <w:rsid w:val="005D28D3"/>
    <w:rsid w:val="005D637D"/>
    <w:rsid w:val="005E3499"/>
    <w:rsid w:val="00600083"/>
    <w:rsid w:val="0060067C"/>
    <w:rsid w:val="006032E8"/>
    <w:rsid w:val="00615EF2"/>
    <w:rsid w:val="006217B1"/>
    <w:rsid w:val="00621A00"/>
    <w:rsid w:val="006228CB"/>
    <w:rsid w:val="00623734"/>
    <w:rsid w:val="00635F9F"/>
    <w:rsid w:val="00650980"/>
    <w:rsid w:val="00657640"/>
    <w:rsid w:val="006839F3"/>
    <w:rsid w:val="006A7435"/>
    <w:rsid w:val="006B1576"/>
    <w:rsid w:val="006B3673"/>
    <w:rsid w:val="006C5683"/>
    <w:rsid w:val="006D3F33"/>
    <w:rsid w:val="006D583E"/>
    <w:rsid w:val="006F3D6A"/>
    <w:rsid w:val="006F78DE"/>
    <w:rsid w:val="00715D62"/>
    <w:rsid w:val="007164FC"/>
    <w:rsid w:val="00724CA0"/>
    <w:rsid w:val="007468BD"/>
    <w:rsid w:val="00762B64"/>
    <w:rsid w:val="00767FDC"/>
    <w:rsid w:val="00770C34"/>
    <w:rsid w:val="007825B5"/>
    <w:rsid w:val="007A5466"/>
    <w:rsid w:val="007A63C1"/>
    <w:rsid w:val="007C4310"/>
    <w:rsid w:val="007D1DF6"/>
    <w:rsid w:val="007D77F9"/>
    <w:rsid w:val="007F1711"/>
    <w:rsid w:val="007F47A3"/>
    <w:rsid w:val="007F54B3"/>
    <w:rsid w:val="008113B7"/>
    <w:rsid w:val="008124CF"/>
    <w:rsid w:val="00812DB7"/>
    <w:rsid w:val="008316C5"/>
    <w:rsid w:val="00833BFD"/>
    <w:rsid w:val="00846FB4"/>
    <w:rsid w:val="00874F83"/>
    <w:rsid w:val="008900A6"/>
    <w:rsid w:val="00890299"/>
    <w:rsid w:val="00892BDD"/>
    <w:rsid w:val="008949B6"/>
    <w:rsid w:val="00895B25"/>
    <w:rsid w:val="008970EA"/>
    <w:rsid w:val="008D5845"/>
    <w:rsid w:val="008E161E"/>
    <w:rsid w:val="008F64AA"/>
    <w:rsid w:val="009020F2"/>
    <w:rsid w:val="009217AA"/>
    <w:rsid w:val="00925882"/>
    <w:rsid w:val="009343D5"/>
    <w:rsid w:val="00937CCA"/>
    <w:rsid w:val="00951A73"/>
    <w:rsid w:val="009529CE"/>
    <w:rsid w:val="00954AEA"/>
    <w:rsid w:val="00957B57"/>
    <w:rsid w:val="00963D5E"/>
    <w:rsid w:val="00964FAE"/>
    <w:rsid w:val="00971E5B"/>
    <w:rsid w:val="00987B1D"/>
    <w:rsid w:val="009B2203"/>
    <w:rsid w:val="009B2757"/>
    <w:rsid w:val="009C3F20"/>
    <w:rsid w:val="009E5416"/>
    <w:rsid w:val="009F7B70"/>
    <w:rsid w:val="00A063C7"/>
    <w:rsid w:val="00A1405A"/>
    <w:rsid w:val="00A2780F"/>
    <w:rsid w:val="00A31540"/>
    <w:rsid w:val="00A35EA5"/>
    <w:rsid w:val="00A36D9C"/>
    <w:rsid w:val="00A4186E"/>
    <w:rsid w:val="00A4509C"/>
    <w:rsid w:val="00A45D50"/>
    <w:rsid w:val="00A76698"/>
    <w:rsid w:val="00A934B4"/>
    <w:rsid w:val="00A96339"/>
    <w:rsid w:val="00AC3ED5"/>
    <w:rsid w:val="00AC3F12"/>
    <w:rsid w:val="00AC725B"/>
    <w:rsid w:val="00AD2221"/>
    <w:rsid w:val="00AD30E9"/>
    <w:rsid w:val="00AD623E"/>
    <w:rsid w:val="00AE26ED"/>
    <w:rsid w:val="00AF474B"/>
    <w:rsid w:val="00B00CB7"/>
    <w:rsid w:val="00B01022"/>
    <w:rsid w:val="00B14038"/>
    <w:rsid w:val="00B167EE"/>
    <w:rsid w:val="00B24C2F"/>
    <w:rsid w:val="00B34997"/>
    <w:rsid w:val="00B407E0"/>
    <w:rsid w:val="00B45088"/>
    <w:rsid w:val="00B86E48"/>
    <w:rsid w:val="00B958DE"/>
    <w:rsid w:val="00B96AE5"/>
    <w:rsid w:val="00BA05FA"/>
    <w:rsid w:val="00BA343F"/>
    <w:rsid w:val="00BB6DCC"/>
    <w:rsid w:val="00BD0C6B"/>
    <w:rsid w:val="00BD0FA6"/>
    <w:rsid w:val="00BE0D15"/>
    <w:rsid w:val="00BE773B"/>
    <w:rsid w:val="00BF0DED"/>
    <w:rsid w:val="00BF59B0"/>
    <w:rsid w:val="00C02353"/>
    <w:rsid w:val="00C057ED"/>
    <w:rsid w:val="00C42531"/>
    <w:rsid w:val="00C65C49"/>
    <w:rsid w:val="00C75F81"/>
    <w:rsid w:val="00CC0A1D"/>
    <w:rsid w:val="00CD788C"/>
    <w:rsid w:val="00CD7CDD"/>
    <w:rsid w:val="00CF38F7"/>
    <w:rsid w:val="00CF6E05"/>
    <w:rsid w:val="00D06D53"/>
    <w:rsid w:val="00D17B79"/>
    <w:rsid w:val="00D320F3"/>
    <w:rsid w:val="00D340CA"/>
    <w:rsid w:val="00D47586"/>
    <w:rsid w:val="00D749DE"/>
    <w:rsid w:val="00D83C9E"/>
    <w:rsid w:val="00DA2299"/>
    <w:rsid w:val="00DA5A12"/>
    <w:rsid w:val="00DC3415"/>
    <w:rsid w:val="00DC4D25"/>
    <w:rsid w:val="00DD5B84"/>
    <w:rsid w:val="00DD6EF6"/>
    <w:rsid w:val="00DE33CA"/>
    <w:rsid w:val="00DF471F"/>
    <w:rsid w:val="00E04867"/>
    <w:rsid w:val="00E04A14"/>
    <w:rsid w:val="00E1236D"/>
    <w:rsid w:val="00E1460D"/>
    <w:rsid w:val="00E42C67"/>
    <w:rsid w:val="00E42EA6"/>
    <w:rsid w:val="00E80246"/>
    <w:rsid w:val="00E84D48"/>
    <w:rsid w:val="00E85C03"/>
    <w:rsid w:val="00E92717"/>
    <w:rsid w:val="00E95A95"/>
    <w:rsid w:val="00EA38D8"/>
    <w:rsid w:val="00EB129E"/>
    <w:rsid w:val="00EB1F87"/>
    <w:rsid w:val="00EC72E1"/>
    <w:rsid w:val="00ED18DB"/>
    <w:rsid w:val="00EE2385"/>
    <w:rsid w:val="00EE2A5D"/>
    <w:rsid w:val="00EF3F38"/>
    <w:rsid w:val="00EF5EE2"/>
    <w:rsid w:val="00EF5EE7"/>
    <w:rsid w:val="00F01ADC"/>
    <w:rsid w:val="00F02A19"/>
    <w:rsid w:val="00F05A4E"/>
    <w:rsid w:val="00F1763D"/>
    <w:rsid w:val="00F33B0C"/>
    <w:rsid w:val="00F35EA1"/>
    <w:rsid w:val="00F37DF6"/>
    <w:rsid w:val="00F43E9A"/>
    <w:rsid w:val="00F479A3"/>
    <w:rsid w:val="00F7660B"/>
    <w:rsid w:val="00F837AF"/>
    <w:rsid w:val="00F92149"/>
    <w:rsid w:val="00F95B32"/>
    <w:rsid w:val="00FA0FE5"/>
    <w:rsid w:val="00FB53B4"/>
    <w:rsid w:val="00FB57D4"/>
    <w:rsid w:val="00FC1250"/>
    <w:rsid w:val="00FD3343"/>
    <w:rsid w:val="00FD4D9C"/>
    <w:rsid w:val="00FD5877"/>
    <w:rsid w:val="00FE2F91"/>
    <w:rsid w:val="00FE3C84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285F"/>
  <w15:docId w15:val="{1CF69100-3284-46CE-A309-2CA6EA56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D71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D71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1C3D71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C3D71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3D71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C3D71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1C59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C59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201C59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C59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C59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1C3D71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1C3D71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1C3D7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201C59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1C3D71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1C59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1C3D7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C59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1C3D71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1C3D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1C3D71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59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rsid w:val="00185D6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85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C59"/>
    <w:rPr>
      <w:rFonts w:ascii="Tahoma" w:hAnsi="Tahoma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85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C59"/>
    <w:rPr>
      <w:rFonts w:ascii="Tahoma" w:hAnsi="Tahoma"/>
      <w:b/>
      <w:bCs/>
      <w:lang w:val="it-IT" w:eastAsia="it-IT"/>
    </w:rPr>
  </w:style>
  <w:style w:type="character" w:customStyle="1" w:styleId="apple-style-span">
    <w:name w:val="apple-style-span"/>
    <w:basedOn w:val="DefaultParagraphFont"/>
    <w:rsid w:val="0060067C"/>
    <w:rPr>
      <w:rFonts w:cs="Times New Roman"/>
    </w:rPr>
  </w:style>
  <w:style w:type="paragraph" w:styleId="Revision">
    <w:name w:val="Revision"/>
    <w:hidden/>
    <w:uiPriority w:val="99"/>
    <w:semiHidden/>
    <w:rsid w:val="000C0DCF"/>
    <w:rPr>
      <w:rFonts w:ascii="Tahoma" w:hAnsi="Tahoma"/>
      <w:sz w:val="22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770C34"/>
    <w:pPr>
      <w:ind w:left="720"/>
      <w:contextualSpacing/>
    </w:pPr>
  </w:style>
  <w:style w:type="table" w:styleId="TableGrid">
    <w:name w:val="Table Grid"/>
    <w:basedOn w:val="TableNormal"/>
    <w:rsid w:val="00EE2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02A19"/>
  </w:style>
  <w:style w:type="paragraph" w:customStyle="1" w:styleId="titolo100">
    <w:name w:val="titolo 100"/>
    <w:rsid w:val="00B958DE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0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1921</Words>
  <Characters>10952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4</cp:revision>
  <cp:lastPrinted>2006-09-08T15:08:00Z</cp:lastPrinted>
  <dcterms:created xsi:type="dcterms:W3CDTF">2016-12-22T10:51:00Z</dcterms:created>
  <dcterms:modified xsi:type="dcterms:W3CDTF">2017-07-17T16:02:00Z</dcterms:modified>
</cp:coreProperties>
</file>